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2101" w14:textId="77777777" w:rsidR="003D4F30" w:rsidRPr="003F1370" w:rsidRDefault="00000000">
      <w:pPr>
        <w:pStyle w:val="Heading1"/>
        <w:spacing w:after="813"/>
        <w:ind w:left="19" w:firstLine="0"/>
        <w:jc w:val="center"/>
        <w:rPr>
          <w:b/>
          <w:bCs/>
        </w:rPr>
      </w:pPr>
      <w:r w:rsidRPr="003F1370">
        <w:rPr>
          <w:b/>
          <w:bCs/>
        </w:rPr>
        <w:t>RIBCHESTER PARISH COUNCIL</w:t>
      </w:r>
    </w:p>
    <w:p w14:paraId="6B818850" w14:textId="77777777" w:rsidR="003F1370" w:rsidRDefault="00000000">
      <w:pPr>
        <w:spacing w:after="99" w:line="320" w:lineRule="auto"/>
        <w:ind w:left="4"/>
        <w:jc w:val="both"/>
        <w:rPr>
          <w:rFonts w:ascii="Times New Roman" w:eastAsia="Times New Roman" w:hAnsi="Times New Roman" w:cs="Times New Roman"/>
          <w:sz w:val="32"/>
          <w:szCs w:val="22"/>
        </w:rPr>
      </w:pPr>
      <w:r w:rsidRPr="003F1370">
        <w:rPr>
          <w:rFonts w:ascii="Times New Roman" w:eastAsia="Times New Roman" w:hAnsi="Times New Roman" w:cs="Times New Roman"/>
          <w:sz w:val="32"/>
          <w:szCs w:val="22"/>
        </w:rPr>
        <w:t xml:space="preserve">Minutes of the Parish Council Meeting held on 7-30pm on 20 April at SS Peter and Pauls Parish Centre, Ribchester </w:t>
      </w:r>
    </w:p>
    <w:p w14:paraId="25CA0D98" w14:textId="77777777" w:rsidR="003F1370" w:rsidRDefault="003F1370">
      <w:pPr>
        <w:spacing w:after="99" w:line="320" w:lineRule="auto"/>
        <w:ind w:left="4"/>
        <w:jc w:val="both"/>
        <w:rPr>
          <w:rFonts w:ascii="Times New Roman" w:eastAsia="Times New Roman" w:hAnsi="Times New Roman" w:cs="Times New Roman"/>
          <w:sz w:val="32"/>
          <w:szCs w:val="22"/>
        </w:rPr>
      </w:pPr>
    </w:p>
    <w:p w14:paraId="7FE80764" w14:textId="53784A19" w:rsidR="003D4F30" w:rsidRPr="003F1370" w:rsidRDefault="00000000">
      <w:pPr>
        <w:spacing w:after="99" w:line="320" w:lineRule="auto"/>
        <w:ind w:left="4"/>
        <w:jc w:val="both"/>
        <w:rPr>
          <w:sz w:val="20"/>
          <w:szCs w:val="22"/>
        </w:rPr>
      </w:pPr>
      <w:r w:rsidRPr="003F1370">
        <w:rPr>
          <w:rFonts w:ascii="Times New Roman" w:eastAsia="Times New Roman" w:hAnsi="Times New Roman" w:cs="Times New Roman"/>
          <w:sz w:val="32"/>
          <w:szCs w:val="22"/>
        </w:rPr>
        <w:t xml:space="preserve">PRESENT: </w:t>
      </w:r>
      <w:r w:rsidR="003F1370">
        <w:rPr>
          <w:rFonts w:ascii="Times New Roman" w:eastAsia="Times New Roman" w:hAnsi="Times New Roman" w:cs="Times New Roman"/>
          <w:sz w:val="32"/>
          <w:szCs w:val="22"/>
        </w:rPr>
        <w:tab/>
      </w:r>
      <w:r w:rsidRPr="003F1370">
        <w:rPr>
          <w:rFonts w:ascii="Times New Roman" w:eastAsia="Times New Roman" w:hAnsi="Times New Roman" w:cs="Times New Roman"/>
          <w:sz w:val="32"/>
          <w:szCs w:val="22"/>
        </w:rPr>
        <w:t>Councillors Cromie, Mason, Yates.</w:t>
      </w:r>
    </w:p>
    <w:p w14:paraId="0370740E" w14:textId="77777777" w:rsidR="003D4F30" w:rsidRPr="003F1370" w:rsidRDefault="00000000" w:rsidP="003F1370">
      <w:pPr>
        <w:spacing w:after="194" w:line="252" w:lineRule="auto"/>
        <w:ind w:left="1469" w:firstLine="691"/>
        <w:jc w:val="both"/>
        <w:rPr>
          <w:sz w:val="20"/>
          <w:szCs w:val="22"/>
        </w:rPr>
      </w:pPr>
      <w:r w:rsidRPr="003F1370">
        <w:rPr>
          <w:rFonts w:ascii="Times New Roman" w:eastAsia="Times New Roman" w:hAnsi="Times New Roman" w:cs="Times New Roman"/>
          <w:sz w:val="32"/>
          <w:szCs w:val="22"/>
        </w:rPr>
        <w:t>Councillor Barnsley</w:t>
      </w:r>
    </w:p>
    <w:p w14:paraId="0C20DFC8" w14:textId="48BF7EAB" w:rsidR="003D4F30" w:rsidRPr="003F1370" w:rsidRDefault="00000000">
      <w:pPr>
        <w:spacing w:after="191"/>
        <w:ind w:left="24" w:hanging="10"/>
        <w:rPr>
          <w:sz w:val="20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RESIDENTS: </w:t>
      </w:r>
      <w:r w:rsidR="003F1370">
        <w:rPr>
          <w:rFonts w:ascii="Times New Roman" w:eastAsia="Times New Roman" w:hAnsi="Times New Roman" w:cs="Times New Roman"/>
          <w:sz w:val="28"/>
          <w:szCs w:val="22"/>
        </w:rPr>
        <w:tab/>
      </w:r>
      <w:r w:rsidRPr="003F1370">
        <w:rPr>
          <w:rFonts w:ascii="Times New Roman" w:eastAsia="Times New Roman" w:hAnsi="Times New Roman" w:cs="Times New Roman"/>
          <w:sz w:val="28"/>
          <w:szCs w:val="22"/>
        </w:rPr>
        <w:t>Three</w:t>
      </w:r>
    </w:p>
    <w:p w14:paraId="6435B2F4" w14:textId="756B3AF0" w:rsidR="003D4F30" w:rsidRDefault="00000000">
      <w:pPr>
        <w:spacing w:after="194" w:line="252" w:lineRule="auto"/>
        <w:ind w:left="4"/>
        <w:jc w:val="both"/>
        <w:rPr>
          <w:rFonts w:ascii="Times New Roman" w:eastAsia="Times New Roman" w:hAnsi="Times New Roman" w:cs="Times New Roman"/>
          <w:sz w:val="32"/>
          <w:szCs w:val="22"/>
        </w:rPr>
      </w:pPr>
      <w:r w:rsidRPr="003F1370">
        <w:rPr>
          <w:rFonts w:ascii="Times New Roman" w:eastAsia="Times New Roman" w:hAnsi="Times New Roman" w:cs="Times New Roman"/>
          <w:sz w:val="32"/>
          <w:szCs w:val="22"/>
        </w:rPr>
        <w:t xml:space="preserve">APOLOGIES: </w:t>
      </w:r>
      <w:r w:rsidR="003F1370">
        <w:rPr>
          <w:rFonts w:ascii="Times New Roman" w:eastAsia="Times New Roman" w:hAnsi="Times New Roman" w:cs="Times New Roman"/>
          <w:sz w:val="32"/>
          <w:szCs w:val="22"/>
        </w:rPr>
        <w:tab/>
      </w:r>
      <w:r w:rsidRPr="003F1370">
        <w:rPr>
          <w:rFonts w:ascii="Times New Roman" w:eastAsia="Times New Roman" w:hAnsi="Times New Roman" w:cs="Times New Roman"/>
          <w:sz w:val="32"/>
          <w:szCs w:val="22"/>
        </w:rPr>
        <w:t>Councillors Caunce, Dickinson, and Finch</w:t>
      </w:r>
    </w:p>
    <w:p w14:paraId="592F0C41" w14:textId="77777777" w:rsidR="003F1370" w:rsidRPr="003F1370" w:rsidRDefault="003F1370">
      <w:pPr>
        <w:spacing w:after="194" w:line="252" w:lineRule="auto"/>
        <w:ind w:left="4"/>
        <w:jc w:val="both"/>
        <w:rPr>
          <w:sz w:val="20"/>
          <w:szCs w:val="22"/>
        </w:rPr>
      </w:pPr>
    </w:p>
    <w:p w14:paraId="7B1F166D" w14:textId="6A3CC877" w:rsidR="003D4F30" w:rsidRPr="003F1370" w:rsidRDefault="00000000" w:rsidP="003F1370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sz w:val="20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DECLARATIONS OF INTEREST: </w:t>
      </w:r>
      <w:r w:rsidR="003F1370">
        <w:rPr>
          <w:rFonts w:ascii="Times New Roman" w:eastAsia="Times New Roman" w:hAnsi="Times New Roman" w:cs="Times New Roman"/>
          <w:sz w:val="28"/>
          <w:szCs w:val="22"/>
        </w:rPr>
        <w:br/>
      </w:r>
      <w:r w:rsidRPr="003F1370">
        <w:rPr>
          <w:rFonts w:ascii="Times New Roman" w:eastAsia="Times New Roman" w:hAnsi="Times New Roman" w:cs="Times New Roman"/>
          <w:sz w:val="28"/>
          <w:szCs w:val="22"/>
        </w:rPr>
        <w:t>None</w:t>
      </w:r>
      <w:r w:rsidR="003F1370">
        <w:rPr>
          <w:rFonts w:ascii="Times New Roman" w:eastAsia="Times New Roman" w:hAnsi="Times New Roman" w:cs="Times New Roman"/>
          <w:sz w:val="28"/>
          <w:szCs w:val="22"/>
        </w:rPr>
        <w:br/>
      </w:r>
    </w:p>
    <w:p w14:paraId="027DFB55" w14:textId="77777777" w:rsidR="003F1370" w:rsidRPr="003F1370" w:rsidRDefault="00000000" w:rsidP="003F1370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sz w:val="20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PUBLIC PARTICIPATION:</w:t>
      </w:r>
    </w:p>
    <w:p w14:paraId="5546319B" w14:textId="23B2500D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Two residents raised the issue of a Planning Application from </w:t>
      </w:r>
      <w:proofErr w:type="spellStart"/>
      <w:r w:rsidRPr="003F1370">
        <w:rPr>
          <w:rFonts w:ascii="Times New Roman" w:eastAsia="Times New Roman" w:hAnsi="Times New Roman" w:cs="Times New Roman"/>
          <w:sz w:val="28"/>
          <w:szCs w:val="22"/>
        </w:rPr>
        <w:t>OakBank</w:t>
      </w:r>
      <w:proofErr w:type="spellEnd"/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gramStart"/>
      <w:r w:rsidRPr="003F1370">
        <w:rPr>
          <w:rFonts w:ascii="Times New Roman" w:eastAsia="Times New Roman" w:hAnsi="Times New Roman" w:cs="Times New Roman"/>
          <w:sz w:val="28"/>
          <w:szCs w:val="22"/>
        </w:rPr>
        <w:t>Farm</w:t>
      </w:r>
      <w:r w:rsidR="00F53E4B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="00F53E4B" w:rsidRPr="003F1370">
        <w:rPr>
          <w:rFonts w:ascii="Times New Roman" w:eastAsia="Times New Roman" w:hAnsi="Times New Roman" w:cs="Times New Roman"/>
          <w:sz w:val="28"/>
          <w:szCs w:val="22"/>
        </w:rPr>
        <w:t>(</w:t>
      </w:r>
      <w:proofErr w:type="gramEnd"/>
      <w:r w:rsidR="00F53E4B" w:rsidRPr="003F1370">
        <w:rPr>
          <w:rFonts w:ascii="Times New Roman" w:eastAsia="Times New Roman" w:hAnsi="Times New Roman" w:cs="Times New Roman"/>
          <w:sz w:val="28"/>
          <w:szCs w:val="22"/>
        </w:rPr>
        <w:t>3/2025/0236)</w:t>
      </w:r>
      <w:r w:rsidR="00F53E4B">
        <w:rPr>
          <w:rFonts w:ascii="Times New Roman" w:eastAsia="Times New Roman" w:hAnsi="Times New Roman" w:cs="Times New Roman"/>
          <w:sz w:val="28"/>
          <w:szCs w:val="22"/>
        </w:rPr>
        <w:t>. This was a retrospective planning application which has been revised and resubmitted.</w:t>
      </w:r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="00F53E4B">
        <w:rPr>
          <w:rFonts w:ascii="Times New Roman" w:eastAsia="Times New Roman" w:hAnsi="Times New Roman" w:cs="Times New Roman"/>
          <w:sz w:val="28"/>
          <w:szCs w:val="22"/>
        </w:rPr>
        <w:t>Local residents have been disturbed by noise made by wedding guests which went on quite late into the night last summer. Residents had contacted RVBC to express their concerns; RVBC suggested measuring the noise levels, but as this was pre-wedding season,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 xml:space="preserve"> the residents felt it might not give a true picture. </w:t>
      </w:r>
      <w:r w:rsidRPr="003F1370">
        <w:rPr>
          <w:rFonts w:ascii="Times New Roman" w:eastAsia="Times New Roman" w:hAnsi="Times New Roman" w:cs="Times New Roman"/>
          <w:sz w:val="28"/>
          <w:szCs w:val="22"/>
        </w:rPr>
        <w:t>Residents hop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>e</w:t>
      </w:r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>a noise curfew might be put in place, such as happens in other similar venues in the area.</w:t>
      </w:r>
    </w:p>
    <w:p w14:paraId="00E9DF5A" w14:textId="7EFC9DE7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A number of residents had responded to the application. In those responses reference had been made to Road Safety issues — particularly, groups - including children walking on the road. Concerns were raised about the speed of the traffic, and worries about the likelihood of accidents.</w:t>
      </w:r>
    </w:p>
    <w:p w14:paraId="272A4395" w14:textId="51042295" w:rsidR="003D4F30" w:rsidRPr="003F1370" w:rsidRDefault="00000000" w:rsidP="003F1370">
      <w:pPr>
        <w:pStyle w:val="ListParagraph"/>
        <w:numPr>
          <w:ilvl w:val="0"/>
          <w:numId w:val="5"/>
        </w:numPr>
        <w:spacing w:after="194" w:line="252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CONFIRMATION OF THE MINUTES:</w:t>
      </w:r>
      <w:r w:rsidRPr="003F1370">
        <w:rPr>
          <w:rFonts w:ascii="Times New Roman" w:eastAsia="Times New Roman" w:hAnsi="Times New Roman" w:cs="Times New Roman"/>
          <w:noProof/>
          <w:sz w:val="28"/>
          <w:szCs w:val="22"/>
        </w:rPr>
        <w:drawing>
          <wp:inline distT="0" distB="0" distL="0" distR="0" wp14:anchorId="75019EEF" wp14:editId="5A3B2591">
            <wp:extent cx="3048" cy="3049"/>
            <wp:effectExtent l="0" t="0" r="0" b="0"/>
            <wp:docPr id="1566" name="Picture 1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" name="Picture 15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F7456" w14:textId="77777777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The minutes were confirmed as a true record.</w:t>
      </w:r>
    </w:p>
    <w:p w14:paraId="1DCED7FB" w14:textId="0A401FC6" w:rsidR="003D4F30" w:rsidRPr="003F1370" w:rsidRDefault="00000000" w:rsidP="003F1370">
      <w:pPr>
        <w:pStyle w:val="ListParagraph"/>
        <w:numPr>
          <w:ilvl w:val="0"/>
          <w:numId w:val="5"/>
        </w:numPr>
        <w:spacing w:after="195" w:line="265" w:lineRule="auto"/>
        <w:jc w:val="both"/>
        <w:rPr>
          <w:sz w:val="20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MATTERS ARISING</w:t>
      </w:r>
    </w:p>
    <w:p w14:paraId="23407404" w14:textId="77777777" w:rsidR="003D4F30" w:rsidRPr="003F1370" w:rsidRDefault="00000000" w:rsidP="003F1370">
      <w:pPr>
        <w:spacing w:after="194" w:line="252" w:lineRule="auto"/>
        <w:ind w:left="709"/>
        <w:jc w:val="both"/>
        <w:rPr>
          <w:sz w:val="20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There were no matters arising.</w:t>
      </w:r>
    </w:p>
    <w:p w14:paraId="7AAF85A5" w14:textId="77777777" w:rsidR="003D4F30" w:rsidRPr="003F1370" w:rsidRDefault="00000000" w:rsidP="00F53E4B">
      <w:pPr>
        <w:pStyle w:val="ListParagraph"/>
        <w:numPr>
          <w:ilvl w:val="0"/>
          <w:numId w:val="5"/>
        </w:numPr>
        <w:spacing w:after="195" w:line="265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PLANNING APPLICATIONS:</w:t>
      </w:r>
    </w:p>
    <w:p w14:paraId="3AA6F860" w14:textId="77777777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3/2026/0278 - St Wilfrid's School - Proposed replacement of flat roof and roof lights. Installation of air-source heat pump</w:t>
      </w:r>
    </w:p>
    <w:p w14:paraId="32934C9F" w14:textId="77777777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3/2026/0050 - Land at Preston Road - APPEAL REFUSED</w:t>
      </w:r>
    </w:p>
    <w:p w14:paraId="57EF501E" w14:textId="77777777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lastRenderedPageBreak/>
        <w:t>3/2026/0047 - Pinfold Farm - APPEAL ALLOWED</w:t>
      </w:r>
    </w:p>
    <w:p w14:paraId="12E17F5E" w14:textId="77777777" w:rsidR="003D4F30" w:rsidRPr="00F53E4B" w:rsidRDefault="00000000" w:rsidP="00F53E4B">
      <w:pPr>
        <w:pStyle w:val="ListParagraph"/>
        <w:numPr>
          <w:ilvl w:val="0"/>
          <w:numId w:val="5"/>
        </w:numPr>
        <w:spacing w:after="195" w:line="265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FINANCIAL MATTERS:</w:t>
      </w:r>
    </w:p>
    <w:p w14:paraId="6FE00546" w14:textId="49C431A1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Council had considered and approved a switch to Unity Trust Bank (UTB) after Lloyd's Bank had closed the Parish Council's account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 xml:space="preserve">. </w:t>
      </w:r>
      <w:r w:rsidRPr="003F1370">
        <w:rPr>
          <w:rFonts w:ascii="Times New Roman" w:eastAsia="Times New Roman" w:hAnsi="Times New Roman" w:cs="Times New Roman"/>
          <w:sz w:val="28"/>
          <w:szCs w:val="22"/>
        </w:rPr>
        <w:t>All documents required have been provided.</w:t>
      </w:r>
      <w:r w:rsidRPr="003F1370">
        <w:rPr>
          <w:rFonts w:ascii="Times New Roman" w:eastAsia="Times New Roman" w:hAnsi="Times New Roman" w:cs="Times New Roman"/>
          <w:noProof/>
          <w:sz w:val="28"/>
          <w:szCs w:val="22"/>
        </w:rPr>
        <w:drawing>
          <wp:inline distT="0" distB="0" distL="0" distR="0" wp14:anchorId="2A1D1780" wp14:editId="391B4B96">
            <wp:extent cx="3048" cy="3049"/>
            <wp:effectExtent l="0" t="0" r="0" b="0"/>
            <wp:docPr id="2868" name="Picture 2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" name="Picture 28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73D41" w14:textId="77777777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 xml:space="preserve">The year-end accounts and preparation of the AGAR submission must be completed by 30 June 2026. The Auditor who conducted </w:t>
      </w:r>
      <w:r w:rsidRPr="003F1370">
        <w:rPr>
          <w:rFonts w:ascii="Times New Roman" w:eastAsia="Times New Roman" w:hAnsi="Times New Roman" w:cs="Times New Roman"/>
          <w:noProof/>
          <w:sz w:val="28"/>
          <w:szCs w:val="22"/>
        </w:rPr>
        <w:drawing>
          <wp:inline distT="0" distB="0" distL="0" distR="0" wp14:anchorId="672F9B46" wp14:editId="2864A7D8">
            <wp:extent cx="3048" cy="3049"/>
            <wp:effectExtent l="0" t="0" r="0" b="0"/>
            <wp:docPr id="2869" name="Picture 2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" name="Picture 28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370">
        <w:rPr>
          <w:rFonts w:ascii="Times New Roman" w:eastAsia="Times New Roman" w:hAnsi="Times New Roman" w:cs="Times New Roman"/>
          <w:sz w:val="28"/>
          <w:szCs w:val="22"/>
        </w:rPr>
        <w:t>last-year's AGAR has kindly agreed to undertake the work again this year, for which the Parish Council is very grateful.</w:t>
      </w:r>
    </w:p>
    <w:p w14:paraId="62358C9A" w14:textId="166F5D28" w:rsidR="003D4F30" w:rsidRPr="00F53E4B" w:rsidRDefault="00000000" w:rsidP="00F53E4B">
      <w:pPr>
        <w:pStyle w:val="ListParagraph"/>
        <w:numPr>
          <w:ilvl w:val="0"/>
          <w:numId w:val="5"/>
        </w:numPr>
        <w:spacing w:after="195" w:line="265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REPORTS FROM PRINCIPAL COMMITTEES</w:t>
      </w:r>
    </w:p>
    <w:p w14:paraId="3B5FCD4F" w14:textId="0000C461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Cllr Barnsley reported on a 'lively' meeting of the Parish Councils Liaison Committee. At that meeting a speaker from LCC was taken to task on potholes in the area. It was also revealed that there was a plan to withdraw 'Love Your Streets'. He also reminded the meeting that there is still money in the Jubilee Fund (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>£60,000</w:t>
      </w:r>
      <w:r w:rsidRPr="003F1370">
        <w:rPr>
          <w:rFonts w:ascii="Times New Roman" w:eastAsia="Times New Roman" w:hAnsi="Times New Roman" w:cs="Times New Roman"/>
          <w:sz w:val="28"/>
          <w:szCs w:val="22"/>
        </w:rPr>
        <w:t>). An application can be submitted if linked to matched funding.</w:t>
      </w:r>
    </w:p>
    <w:p w14:paraId="65541DFF" w14:textId="7B4BA9F3" w:rsidR="003D4F30" w:rsidRPr="00F53E4B" w:rsidRDefault="00000000" w:rsidP="00F53E4B">
      <w:pPr>
        <w:pStyle w:val="ListParagraph"/>
        <w:numPr>
          <w:ilvl w:val="0"/>
          <w:numId w:val="5"/>
        </w:numPr>
        <w:spacing w:after="195" w:line="265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F53E4B">
        <w:rPr>
          <w:rFonts w:ascii="Times New Roman" w:eastAsia="Times New Roman" w:hAnsi="Times New Roman" w:cs="Times New Roman"/>
          <w:sz w:val="28"/>
          <w:szCs w:val="22"/>
        </w:rPr>
        <w:t>VILLAGE MATTERS</w:t>
      </w:r>
    </w:p>
    <w:p w14:paraId="2CBF6506" w14:textId="77777777" w:rsidR="00F405FF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Various suggestions were made for consideration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>:</w:t>
      </w:r>
    </w:p>
    <w:p w14:paraId="1EF6AF5F" w14:textId="77777777" w:rsidR="00F405FF" w:rsidRDefault="00000000" w:rsidP="00F405FF">
      <w:pPr>
        <w:pStyle w:val="ListParagraph"/>
        <w:numPr>
          <w:ilvl w:val="0"/>
          <w:numId w:val="6"/>
        </w:numPr>
        <w:spacing w:after="194" w:line="252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F405FF">
        <w:rPr>
          <w:rFonts w:ascii="Times New Roman" w:eastAsia="Times New Roman" w:hAnsi="Times New Roman" w:cs="Times New Roman"/>
          <w:sz w:val="28"/>
          <w:szCs w:val="22"/>
        </w:rPr>
        <w:t>a new sign for the village on the approach road</w:t>
      </w:r>
    </w:p>
    <w:p w14:paraId="09077785" w14:textId="77777777" w:rsidR="00F405FF" w:rsidRDefault="00000000" w:rsidP="00F405FF">
      <w:pPr>
        <w:pStyle w:val="ListParagraph"/>
        <w:numPr>
          <w:ilvl w:val="0"/>
          <w:numId w:val="6"/>
        </w:numPr>
        <w:spacing w:after="194" w:line="252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F405FF">
        <w:rPr>
          <w:rFonts w:ascii="Times New Roman" w:eastAsia="Times New Roman" w:hAnsi="Times New Roman" w:cs="Times New Roman"/>
          <w:sz w:val="28"/>
          <w:szCs w:val="22"/>
        </w:rPr>
        <w:t>the acquiring of a read telephone box to repurpose (</w:t>
      </w:r>
      <w:proofErr w:type="spellStart"/>
      <w:r w:rsidRPr="00F405FF">
        <w:rPr>
          <w:rFonts w:ascii="Times New Roman" w:eastAsia="Times New Roman" w:hAnsi="Times New Roman" w:cs="Times New Roman"/>
          <w:sz w:val="28"/>
          <w:szCs w:val="22"/>
        </w:rPr>
        <w:t>eg</w:t>
      </w:r>
      <w:proofErr w:type="spellEnd"/>
      <w:r w:rsidRPr="00F405FF">
        <w:rPr>
          <w:rFonts w:ascii="Times New Roman" w:eastAsia="Times New Roman" w:hAnsi="Times New Roman" w:cs="Times New Roman"/>
          <w:sz w:val="28"/>
          <w:szCs w:val="22"/>
        </w:rPr>
        <w:t>, as a book repository)</w:t>
      </w:r>
    </w:p>
    <w:p w14:paraId="6259BD5E" w14:textId="77777777" w:rsidR="00F405FF" w:rsidRDefault="00000000" w:rsidP="00F405FF">
      <w:pPr>
        <w:pStyle w:val="ListParagraph"/>
        <w:numPr>
          <w:ilvl w:val="0"/>
          <w:numId w:val="6"/>
        </w:numPr>
        <w:spacing w:after="194" w:line="252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F405FF">
        <w:rPr>
          <w:rFonts w:ascii="Times New Roman" w:eastAsia="Times New Roman" w:hAnsi="Times New Roman" w:cs="Times New Roman"/>
          <w:sz w:val="28"/>
          <w:szCs w:val="22"/>
        </w:rPr>
        <w:t xml:space="preserve">new flower tubs. </w:t>
      </w:r>
    </w:p>
    <w:p w14:paraId="53774B0C" w14:textId="77777777" w:rsidR="00F405FF" w:rsidRDefault="00000000" w:rsidP="00F405FF">
      <w:pPr>
        <w:spacing w:after="194" w:line="252" w:lineRule="auto"/>
        <w:ind w:left="106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F405FF">
        <w:rPr>
          <w:rFonts w:ascii="Times New Roman" w:eastAsia="Times New Roman" w:hAnsi="Times New Roman" w:cs="Times New Roman"/>
          <w:i/>
          <w:iCs/>
          <w:sz w:val="28"/>
          <w:szCs w:val="22"/>
        </w:rPr>
        <w:t>(It should be noted that the Council's financial position i</w:t>
      </w:r>
      <w:r w:rsidR="00F405FF" w:rsidRPr="00F405FF">
        <w:rPr>
          <w:rFonts w:ascii="Times New Roman" w:eastAsia="Times New Roman" w:hAnsi="Times New Roman" w:cs="Times New Roman"/>
          <w:i/>
          <w:iCs/>
          <w:sz w:val="28"/>
          <w:szCs w:val="22"/>
        </w:rPr>
        <w:t xml:space="preserve">s </w:t>
      </w:r>
      <w:r w:rsidRPr="00F405FF">
        <w:rPr>
          <w:rFonts w:ascii="Times New Roman" w:eastAsia="Times New Roman" w:hAnsi="Times New Roman" w:cs="Times New Roman"/>
          <w:i/>
          <w:iCs/>
          <w:sz w:val="28"/>
          <w:szCs w:val="22"/>
        </w:rPr>
        <w:t>healthy at present, so these suggestions - or similar could be given serious consideration.</w:t>
      </w:r>
      <w:r w:rsidR="00F405FF" w:rsidRPr="00F405FF">
        <w:rPr>
          <w:rFonts w:ascii="Times New Roman" w:eastAsia="Times New Roman" w:hAnsi="Times New Roman" w:cs="Times New Roman"/>
          <w:i/>
          <w:iCs/>
          <w:sz w:val="28"/>
          <w:szCs w:val="22"/>
        </w:rPr>
        <w:t>)</w:t>
      </w:r>
      <w:r w:rsidRPr="00F405FF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</w:p>
    <w:p w14:paraId="670FB8B8" w14:textId="54EF7E24" w:rsidR="003D4F30" w:rsidRPr="00F405FF" w:rsidRDefault="00000000" w:rsidP="00F405FF">
      <w:pPr>
        <w:spacing w:after="194" w:line="252" w:lineRule="auto"/>
        <w:ind w:left="106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F405FF">
        <w:rPr>
          <w:rFonts w:ascii="Times New Roman" w:eastAsia="Times New Roman" w:hAnsi="Times New Roman" w:cs="Times New Roman"/>
          <w:sz w:val="28"/>
          <w:szCs w:val="22"/>
        </w:rPr>
        <w:t>Another long-standing suggestion for improvement for the village was the installation of SPIDS. It was proposed that three were needed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 xml:space="preserve">; two </w:t>
      </w:r>
      <w:r w:rsidRPr="00F405FF">
        <w:rPr>
          <w:rFonts w:ascii="Times New Roman" w:eastAsia="Times New Roman" w:hAnsi="Times New Roman" w:cs="Times New Roman"/>
          <w:sz w:val="28"/>
          <w:szCs w:val="22"/>
        </w:rPr>
        <w:t xml:space="preserve">for the 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>Ribchester</w:t>
      </w:r>
      <w:r w:rsidRPr="00F405FF">
        <w:rPr>
          <w:rFonts w:ascii="Times New Roman" w:eastAsia="Times New Roman" w:hAnsi="Times New Roman" w:cs="Times New Roman"/>
          <w:sz w:val="28"/>
          <w:szCs w:val="22"/>
        </w:rPr>
        <w:t xml:space="preserve"> and one for Knowle Green.</w:t>
      </w:r>
      <w:r w:rsidR="00F405FF">
        <w:rPr>
          <w:rFonts w:ascii="Times New Roman" w:eastAsia="Times New Roman" w:hAnsi="Times New Roman" w:cs="Times New Roman"/>
          <w:sz w:val="28"/>
          <w:szCs w:val="22"/>
        </w:rPr>
        <w:t xml:space="preserve"> Cllrs Yates &amp; Mason have identified three sites for solar-powered SPIDS.</w:t>
      </w:r>
    </w:p>
    <w:p w14:paraId="4DDBF8CF" w14:textId="77777777" w:rsidR="00F53E4B" w:rsidRPr="00F53E4B" w:rsidRDefault="00000000" w:rsidP="00F53E4B">
      <w:pPr>
        <w:pStyle w:val="ListParagraph"/>
        <w:numPr>
          <w:ilvl w:val="0"/>
          <w:numId w:val="5"/>
        </w:numPr>
        <w:spacing w:after="195" w:line="265" w:lineRule="auto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FUTURE MEETINGS</w:t>
      </w:r>
    </w:p>
    <w:p w14:paraId="4A1B9C12" w14:textId="21442213" w:rsidR="003D4F30" w:rsidRPr="003F1370" w:rsidRDefault="00000000" w:rsidP="00F53E4B">
      <w:pPr>
        <w:pStyle w:val="Heading2"/>
        <w:spacing w:after="194" w:line="252" w:lineRule="auto"/>
        <w:ind w:left="709" w:firstLine="0"/>
        <w:jc w:val="both"/>
        <w:rPr>
          <w:sz w:val="28"/>
          <w:szCs w:val="22"/>
        </w:rPr>
      </w:pPr>
      <w:r w:rsidRPr="003F1370">
        <w:rPr>
          <w:sz w:val="28"/>
          <w:szCs w:val="22"/>
        </w:rPr>
        <w:t>It was agreed that the date for the Annual Parish Meeting would be 11th May, with a proposed speaker from Community Energy North West.</w:t>
      </w:r>
    </w:p>
    <w:p w14:paraId="203F2F8A" w14:textId="77777777" w:rsidR="003D4F30" w:rsidRPr="003F1370" w:rsidRDefault="00000000" w:rsidP="003F1370">
      <w:pPr>
        <w:spacing w:after="194"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F1370">
        <w:rPr>
          <w:rFonts w:ascii="Times New Roman" w:eastAsia="Times New Roman" w:hAnsi="Times New Roman" w:cs="Times New Roman"/>
          <w:sz w:val="28"/>
          <w:szCs w:val="22"/>
        </w:rPr>
        <w:t>The next meeting of the Parish Council will take place on 18 May.</w:t>
      </w:r>
    </w:p>
    <w:p w14:paraId="330F822C" w14:textId="77777777" w:rsidR="003D4F30" w:rsidRDefault="00000000">
      <w:pPr>
        <w:spacing w:after="0"/>
        <w:ind w:left="1387"/>
      </w:pPr>
      <w:r>
        <w:rPr>
          <w:noProof/>
        </w:rPr>
        <w:drawing>
          <wp:inline distT="0" distB="0" distL="0" distR="0" wp14:anchorId="3887D406" wp14:editId="4DDDB9C1">
            <wp:extent cx="2243328" cy="707338"/>
            <wp:effectExtent l="0" t="0" r="0" b="0"/>
            <wp:docPr id="6674" name="Picture 6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4" name="Picture 66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70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F30" w:rsidSect="003F1370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12BA"/>
    <w:multiLevelType w:val="hybridMultilevel"/>
    <w:tmpl w:val="45484AC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16D45"/>
    <w:multiLevelType w:val="hybridMultilevel"/>
    <w:tmpl w:val="93BAD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E643B"/>
    <w:multiLevelType w:val="hybridMultilevel"/>
    <w:tmpl w:val="52FC09E6"/>
    <w:lvl w:ilvl="0" w:tplc="33FCC342">
      <w:start w:val="1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7FE34B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F60D6D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31888B9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71CAAD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0F838C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EDAE10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6FAF73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8CC349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214FEA"/>
    <w:multiLevelType w:val="hybridMultilevel"/>
    <w:tmpl w:val="C1FA3BC0"/>
    <w:lvl w:ilvl="0" w:tplc="DC4258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707C7"/>
    <w:multiLevelType w:val="hybridMultilevel"/>
    <w:tmpl w:val="1212C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13EA9"/>
    <w:multiLevelType w:val="hybridMultilevel"/>
    <w:tmpl w:val="19983348"/>
    <w:lvl w:ilvl="0" w:tplc="D53C08B2">
      <w:start w:val="4"/>
      <w:numFmt w:val="decimal"/>
      <w:lvlText w:val="%1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8B00E1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BD8EC5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6E2EA1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7CEE6E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1E808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02CDCA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0F26A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4A4FF7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7384479">
    <w:abstractNumId w:val="2"/>
  </w:num>
  <w:num w:numId="2" w16cid:durableId="1738363419">
    <w:abstractNumId w:val="5"/>
  </w:num>
  <w:num w:numId="3" w16cid:durableId="1323701166">
    <w:abstractNumId w:val="1"/>
  </w:num>
  <w:num w:numId="4" w16cid:durableId="417143862">
    <w:abstractNumId w:val="4"/>
  </w:num>
  <w:num w:numId="5" w16cid:durableId="1829324403">
    <w:abstractNumId w:val="3"/>
  </w:num>
  <w:num w:numId="6" w16cid:durableId="101734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30"/>
    <w:rsid w:val="001D20C9"/>
    <w:rsid w:val="00265EFC"/>
    <w:rsid w:val="002A6FF6"/>
    <w:rsid w:val="003D4F30"/>
    <w:rsid w:val="003F1370"/>
    <w:rsid w:val="00C05162"/>
    <w:rsid w:val="00DF73D1"/>
    <w:rsid w:val="00F405FF"/>
    <w:rsid w:val="00F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83A"/>
  <w15:docId w15:val="{2854A4D5-8822-4A52-A419-2CFC70CC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3" w:line="259" w:lineRule="auto"/>
      <w:ind w:left="20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3" w:line="259" w:lineRule="auto"/>
      <w:ind w:left="20" w:hanging="10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3F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Cromie</dc:creator>
  <cp:keywords/>
  <cp:lastModifiedBy>Sheila Cromie</cp:lastModifiedBy>
  <cp:revision>2</cp:revision>
  <dcterms:created xsi:type="dcterms:W3CDTF">2026-06-30T15:28:00Z</dcterms:created>
  <dcterms:modified xsi:type="dcterms:W3CDTF">2026-06-30T15:28:00Z</dcterms:modified>
</cp:coreProperties>
</file>